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9E" w:rsidRPr="00DE089E" w:rsidRDefault="00DE089E" w:rsidP="00DE089E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6B7C18"/>
          <w:kern w:val="36"/>
          <w:sz w:val="29"/>
          <w:szCs w:val="29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6B7C18"/>
          <w:kern w:val="36"/>
          <w:sz w:val="29"/>
          <w:szCs w:val="29"/>
          <w:lang w:eastAsia="pt-PT"/>
        </w:rPr>
        <w:t>Condições gerais</w:t>
      </w:r>
    </w:p>
    <w:p w:rsidR="00DE089E" w:rsidRDefault="00DE089E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CONDIÇÕES GERAIS DE CONTRATAÇÃO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Este sítio web pertence à </w:t>
      </w:r>
      <w:r w:rsidR="001B54E4">
        <w:rPr>
          <w:rFonts w:ascii="Raleway" w:hAnsi="Raleway"/>
          <w:b/>
          <w:bCs/>
          <w:color w:val="3D3C3F"/>
          <w:sz w:val="21"/>
          <w:szCs w:val="21"/>
        </w:rPr>
        <w:t xml:space="preserve">PARSEC COMUNICACIONES S.L. </w:t>
      </w:r>
      <w:proofErr w:type="spellStart"/>
      <w:r w:rsidR="001B54E4">
        <w:rPr>
          <w:rFonts w:ascii="Raleway" w:hAnsi="Raleway"/>
          <w:b/>
          <w:bCs/>
          <w:color w:val="3D3C3F"/>
          <w:sz w:val="21"/>
          <w:szCs w:val="21"/>
        </w:rPr>
        <w:t>Zurbano</w:t>
      </w:r>
      <w:proofErr w:type="spellEnd"/>
      <w:r w:rsidR="001B54E4">
        <w:rPr>
          <w:rFonts w:ascii="Raleway" w:hAnsi="Raleway"/>
          <w:b/>
          <w:bCs/>
          <w:color w:val="3D3C3F"/>
          <w:sz w:val="21"/>
          <w:szCs w:val="21"/>
        </w:rPr>
        <w:t xml:space="preserve"> 45 28010 Madrid </w:t>
      </w:r>
      <w:proofErr w:type="spellStart"/>
      <w:r w:rsidR="001B54E4">
        <w:rPr>
          <w:rFonts w:ascii="Raleway" w:hAnsi="Raleway"/>
          <w:b/>
          <w:bCs/>
          <w:color w:val="3D3C3F"/>
          <w:sz w:val="21"/>
          <w:szCs w:val="21"/>
        </w:rPr>
        <w:t>Spain</w:t>
      </w:r>
      <w:proofErr w:type="spellEnd"/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tendo a 10000Hoteis acesso </w:t>
      </w:r>
      <w:r w:rsidR="001B54E4">
        <w:rPr>
          <w:rFonts w:ascii="Arial" w:hAnsi="Arial" w:cs="Arial"/>
          <w:color w:val="000000"/>
          <w:sz w:val="20"/>
          <w:szCs w:val="20"/>
        </w:rPr>
        <w:t>em sistema de XML</w:t>
      </w:r>
    </w:p>
    <w:p w:rsidR="005758A1" w:rsidRDefault="00DE089E" w:rsidP="005758A1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O produto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sujeito a estas Condições Gerais, será comercializado exclusivamente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Agencias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O acesso a este programa será fornecido de forma exclusiva pela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poderá obter alojamento em hotéis, apartamentos e outros estabelecimentos de alojamento, sujeito às Condições Gerais de contratação apresentadas e aceites no sítio web e de acordo com os preços, tarifas e condições de cancelamento apresentadas no momento de fazer a reserva. O sítio web fornecerá informações sobre o processo a seguir para fazer a reserva.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conclusão do processo de contratação através do sítio web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está condicionada pela aceitação das presentes Condições Gerais, avisos legais e política de privacidade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Tanto os avisos legais como a política de privacidade são partes importantes que não podem ser separadas das Condições Gerais de contratação. Através do acesso ao sítio web, visualização, utilização ou contratação a partir do mesmo,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aceita reger-se pelas presentes Condições Gerais. Da mesma forma, compromete-se a cumprir todas as leis e normas que se apliquem ao presente sítio web e às reservas contratadas através do mesmo.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Se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aceitar alguma parte das Condições Gerais, não deve prosseguir com o processo de reserva.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actua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como intermediário independente na contratação de alojamento e outros serviços, e por isso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terá qualquer vínculo contratual com o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Cliente Final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para o fornecimento do produto ao preço oferecido até a reserva ser confirmada e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ter recebido o pagamento, sempre que o mesmo se tenha de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efectuar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proofErr w:type="gram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online</w:t>
      </w:r>
      <w:proofErr w:type="gram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Em caso de dúvida, 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 contactar o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nosso serviço 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de Atendimento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24h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 Telefone 24 horas/7 di</w:t>
      </w:r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as por semana indicado no </w:t>
      </w:r>
      <w:proofErr w:type="gramStart"/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site</w:t>
      </w:r>
      <w:proofErr w:type="gramEnd"/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</w:p>
    <w:p w:rsidR="00DE089E" w:rsidRPr="00DE089E" w:rsidRDefault="00DE089E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1. Modificação das Condições Gerais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 levar a cabo melhorias ou alterações na informação, nos elementos, dados, serviços e restantes elementos deste sítio web, ou cancelá-la em qualquer momento sem necessidade de notificação prévia.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 também alterar estas Condições Gerais em qualquer momento e essa alteração será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efectiva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 partir do momento em que for introduzida no sítio web. Consequentemente, o acesso e posterior utilização deste sítio web supõem a aprovação por parte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das novas Condições Gerais.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 suspender o acesso ao sistema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objecto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destas condições gerais, devido a trabalhos de manutenção, motivos de segurança da rede ou causas de força maior, sem que seja obri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gada a reembolsar ou compensar 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alguma forma pelo período durante o qual o acesso esteve suspenso.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DE089E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 xml:space="preserve">2. Como reservar e contratar através do sítio web da </w:t>
      </w: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Formalidades de contratação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lastRenderedPageBreak/>
        <w:t xml:space="preserve">A contratação de serviços através do sítio web faz-se com base no seguinte processo: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seleccione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 destino e as datas, assim como o estabelecimento de alojamento desejado. Os dados da sua reserva aparecerão tanto na parte superior como do lado esquerdo da página de reservas. Verifique o destino e as datas antes de confirmar a reserva. Depois de aceitar as presentes Condições Ge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rais e de confirmar o serviço, 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poderá aceder a reserva. Todos os dados recolhidos serão tratados conforme a Política de Privacidade do sítio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No lado esquerdo do ecrã do menu aparecerão os detalhes de cancelamento da reserva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efectuada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Da mesma forma, os dados recolhidos serão tratados conforme a Política de Privacidade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Esses dados serão tratados observando rigorosamente as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Directivas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Europeias 95/46, 2002/58 e/ou qualquer legislação que desenvolva, amplie ou substitua a “Regulação sobre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Protecção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Dados Pessoais” (doravante, RPDP) e serão utilizados para facilitar e permitir a contratação e reserva dos serviços concretos que compõem a sua encomenda. Assegure-se de que os dados introduzidos estão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correctos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A formalização das reservas escolhidas por parte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ficará sujeita aos termos e condições aqui apresentados e restantes condições particulares que os fornecedores ou organizadores desses produtos ou serviços estabeleçam para cada caso.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também consente aceitar e respeitar estes termos e condições de reserva incluindo, com carácter enunciativo e não limitador, o cumprimento de quaisquer normas e restrições acerca da disponibilidade de preços, produtos ou serviços.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dará o seu consentimento através do botão “Reservar” que se encontra no fundo da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página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Essa confirmação será enviada por via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electrónica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para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10000Hoteis. 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confirmação da compra por parte do prestador de serviços implicará, em todo o caso, o aperfeiçoamento do contrato e o compromisso por parte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relativamente ao pagamento das quantias estabelecidas. Depois de dado o consentimento, mostra-se no ecrã uma página a confirmar a compra, e envia-se a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uma mensagem de correio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electrónico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com a informação relativa à mesma.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Os códigos de acesso proporcionados pela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destinam-se ao uso exclusivo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de modo que nenhum código de acesso poderá ser transferido ou revelado a terceiros, inclusive representantes seus.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é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directamente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responsável pela utilização do seu próprio código de acesso.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No caso de ocorrer uma utilização inadequada, esses códigos de acesso serão retirados, as vendas suspendem-se imediatamente e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reserva-se o direito de iniciar as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acções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legais que considerar oportunas.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DE089E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3. Maioridade e responsabilidade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garante que é maior de idade e tem plena capacidade para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actuar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 possui as autorizações suficientes para comprometer-se em seu nome e em nome das pessoas pelas quais fizer reservas. É da sua responsabilidade assegurar-se de que as presentes Condições Gerais chegam ao conhecimento e obtêm a aceitação de outros consumidores finais, e das restantes partes interessadas. Esse conhecimento e aceitação devem dar-se anteriormente à formalização de qualquer acordo por parte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com qualquer uma das partes referidas.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Você garante que todas as informações de carácter pessoal facultadas durante a reserva do alojamento e o processo de registo no serviço são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correctas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De igual modo, você aceita a responsabilidade financeira por todas as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transacções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efectuadas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no seu nome ou através da sua conta.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lastRenderedPageBreak/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em virtude da aceitação das Condições Gerais e com base no estabelecido na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Directiva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2000/31/CE relativa aos serviços da sociedade da informação e de comércio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electrónico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dá o seu consentimento e autoriza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 solicitar aos estabelecimentos de alojamento contratados toda a informação pessoal relativa a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 ao grupo em nome do qual fez a reserva. Essa informação será tratada observando rigorosamente as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Directivas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Europeias 95/46, 2002/58 e/ou qualquer legislação que desenvolva, amplie ou substitua a RPDP e será utilizada para facilitar e permitir a contratação e pagamento dos serviços concretos que compõem a sua encomenda.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Assim, a título anunciativo, mas não limitador, entende-se como informação pessoal: números de telefone, números de </w:t>
      </w:r>
      <w:proofErr w:type="gram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fax</w:t>
      </w:r>
      <w:proofErr w:type="gram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endereços de correio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electrónico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moradas, assinaturas, cópias de passaportes ou bilhetes de identidade, dados de cartões de crédito/débito, preferências pessoais ou alimentares, particularidades religiosas ou qualquer outra informação que lhe pertença e que seja relevante para a contratação ou pagamento da reserva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do grupo em nome do qual fez a reserva.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DE089E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4. O que se inclui na reserva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O custo do alojamento básico inclui o seguinte: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Alojamento e refeições. Incluem-se todos os serviços especificados no vale de confirmação da reserva.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Todas as taxas e encargos obrigatórios pelo serviço do hotel. Excluem-se as taxas aplicáveis aos Resorts nos Estados Unidos da América, assim como qualquer imposto que tenha que ser pago por si no destino, s saber: taxas turísticas, imposto sobre a poluição, etc.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Imposto sobre o Valor Acrescentado nos países da União Europeia.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DE089E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5. O que não se inclui na reserva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Os custos de alojamento básicos não incluem: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Transporte entre o aeroporto e o alojamento.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Excursões e outras despesas pessoais.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Encargos adicionais dos quartos, refeições e lugares não ocupados em apartamentos.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• Encargos que os hotéis ou apartamentos possam aplicar por prestações adicionais como, por exemplo, berços, serviços de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mini-autocarro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camas de rede, sauna, pistas e equipamento de ténis,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recepção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etc.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 Depósitos exigidos à chegada pelos proprietários de alguns apartamentos/chalés.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• 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Taxas aplicáveis a Resorts dos EUA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: alguns Resorts nos EUA requerem o pagamento de taxas que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pode incluir no preço. No caso de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escolher algum Resort nos EUA, na secção “Hotel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Info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” poderá encontrar informação relativa a este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aspecto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• Em alguns países existe um imposto local denominado “taxa de estadia” ou “taxa turística” que por vezes deverá ser pago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directamente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pelo consumidor final no estabelecimento e/ou no aeroporto.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Crianças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As condições especiais para crianças são acordadas com cada fornecedor do serviço e não obedecem a um critério único, portanto, dado que cada estabelecimento e/ou fornecedor pode 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lastRenderedPageBreak/>
        <w:t xml:space="preserve">aplicar reduções ou condições especiais, agradecíamos que ao fazer a reserva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consultasse este ponto e será informado conforme cada caso.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Relativamente aos serviços de alojamento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: deverão entender-se sempre como aplicáveis os descontos ou condições especiais para o caso de as crianças partilharem o quarto com 2 adultos.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BERÇOS: devido ao </w:t>
      </w:r>
      <w:proofErr w:type="gram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stock</w:t>
      </w:r>
      <w:proofErr w:type="gram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limitado de unidades que os estabelecimentos possam ter, no caso de necessitar deste serviço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deverá indicá-lo ao fazer a reserva. Além disso, o estabelecimento poderia pedir o pagamento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directamente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ao consumidor final. 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Mesmo assim, não podemos garantir que o pedido seja satisfeito. Esse pedido está sujeito à disponibilidade e nem a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nem o alojamento se responsabilizam por garantir o cumprimento do mesmo.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Terceira Pessoa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A maioria dos estabelecimentos consideram a reserva para uma terceira pessoa como reserva de uma cama suplementar em quarto duplo. Esta cama suplementar supõe o pagamento de um suplemento já incluído no preço final.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DE089E" w:rsidP="00DE089E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6. Detalhes de pagamento</w:t>
      </w:r>
    </w:p>
    <w:p w:rsidR="005758A1" w:rsidRDefault="00DE089E" w:rsidP="005758A1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Q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uando fizer a reserva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será devidamente informado sobre a forma de proceder ao pagamento da mesma. </w:t>
      </w:r>
    </w:p>
    <w:p w:rsidR="00DE089E" w:rsidRPr="00DE089E" w:rsidRDefault="00DE089E" w:rsidP="005758A1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</w:p>
    <w:p w:rsidR="005758A1" w:rsidRDefault="00DE089E" w:rsidP="00DE089E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7. Cancelamento ou alteração de reservas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 cancelar a sua reserva em qualquer momento através do nosso sítio web. Durante todo o processo de reserva,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será informado sobre os custos de cancelamento, assim como sobre o período de aplicação dos mesmos.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No caso de fazer a confirmação da reserva,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consente e aceita os custos aplicáveis relativamente aos conceitos antes referidos.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Em caso de dúvida,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 contactar o departamento de Atendimento a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Telefone 24 horas/7 dias por semana indicado </w:t>
      </w:r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no </w:t>
      </w:r>
      <w:proofErr w:type="gramStart"/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site</w:t>
      </w:r>
      <w:proofErr w:type="gramEnd"/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</w:p>
    <w:p w:rsidR="00DE089E" w:rsidRPr="00DE089E" w:rsidRDefault="00DE089E" w:rsidP="00DE089E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 xml:space="preserve">8. </w:t>
      </w: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Alterações e despesas administrativas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Em alguns casos, a alteração pode implicar despesas de cancelamento por parte do nosso fornecedor. Nestes casos, não se cobrará a despesa administrativa, mas apenas a despesa de cancelamento aplicável por parte do nosso fornecedor. 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proofErr w:type="gramStart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Toda as alterações</w:t>
      </w:r>
      <w:proofErr w:type="gramEnd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urgentes (reservas com dia de chegada dentro de 72 horas) deverão ser sempre tratadas por telefone com o nosso departamento de Atendimento a</w:t>
      </w:r>
      <w:r w:rsidR="001B54E4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Para qualquer alteração não urgente (mais de 72 horas antes do dia de chegada) </w:t>
      </w:r>
      <w:r w:rsidR="001B54E4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deve entrar em contacto com o nosso departamento de Atendimento a</w:t>
      </w:r>
      <w:r w:rsidR="001B54E4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. Telefone 24 horas/7 dias por semana indicado no seu vo</w:t>
      </w:r>
      <w:r w:rsidR="00D410D0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ucher de confirmação de reserva.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Devido à alteração, as despesas de cancelamento podem ser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afectadas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. Em qualquer caso, </w:t>
      </w:r>
      <w:r w:rsidR="00D410D0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será devidamente informado da nova política de cancelamento depois de realizada e confirmada a alteração. 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 xml:space="preserve">9. </w:t>
      </w: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Cancelamentos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lastRenderedPageBreak/>
        <w:t>A Agencia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terá sempre de cancelar a sua reserva através da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O valor das despesas de cancelamento pode variar em função do destino, das datas e do estabelecimento de alojamento.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No momento da confirmação da reserva o sistema comunicará o valor a pagar em caso de cancelamento da mesma aplicando, se for o caso, o tipo de câmbio existente no momento de fazer esse pagamento, assim como a antecedência necessária ou a data limite para poder cancelar sem haver despesas.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deve ter em conta que as datas limite para os cancelamentos estão em função da hora e data do destino onde reservou o seu hotel e não do seu país de residência.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Se por motivos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excepcionais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se realizar a anulação através do sistema, esta deverá ser comunicada por escrito à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especificando o destino e o número de localizador da reserva.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emitirá um aviso de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recepção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da mesma, confirmando o cancelamento e informando sobre as despesas que se tiverem gerado, se for o caso. Será da responsabilidade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obter essa confirmação e/ou aviso de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recepção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do cancelamento da reserva.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Não é permitido o cancelamento através do sistema no próprio dia de chegada, portanto, para realizar esse cancelamento deverá contactar a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. As despesas de cancelamento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efectuado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no dia de chegada dependerão da política do hotel, podendo chegar até 100% do valor total.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O cancelamento realizado pel</w:t>
      </w:r>
      <w:r w:rsidR="001B54E4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, tanto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directamente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através do sistema como por telefone através da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, implicará determinadas despesas de cancelamento </w:t>
      </w:r>
      <w:proofErr w:type="gramStart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que</w:t>
      </w:r>
      <w:proofErr w:type="gramEnd"/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: 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Serão cobradas pela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Em temporada de elevada ocupação, o estabelecimento de alojamento pode cobrar a totalidade da reserva original, e nesse caso o reembolso não será possível.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Nos casos de força maior, tais como guerra, revolução,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actos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terrorismo, encerramento de fronteiras, epidemias, catástrofes e outras causas que se revistam de gravidade e que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afectem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os vários destinos e, em particular o local onde está situado o estabelecimento de alojamento de destino, as reservas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efectuadas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através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poderão ser canceladas a pedido de qualquer uma das partes sem qualquer penalização.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IMPORTANTE</w:t>
      </w:r>
    </w:p>
    <w:p w:rsidR="00DE089E" w:rsidRPr="00DE089E" w:rsidRDefault="00DE089E" w:rsidP="00DE089E">
      <w:pPr>
        <w:numPr>
          <w:ilvl w:val="0"/>
          <w:numId w:val="2"/>
        </w:numPr>
        <w:shd w:val="clear" w:color="auto" w:fill="F2F9DB"/>
        <w:spacing w:after="0" w:line="240" w:lineRule="atLeast"/>
        <w:ind w:left="0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No decorrer do ano, alguns estabelecimentos de alojamento poderão mudar de nome ou marca comercial, o que não se poderá interpretar como uma mudança de hotel ou alteração da reserva.</w:t>
      </w:r>
    </w:p>
    <w:p w:rsidR="00DE089E" w:rsidRPr="00DE089E" w:rsidRDefault="00DE089E" w:rsidP="00DE089E">
      <w:pPr>
        <w:numPr>
          <w:ilvl w:val="0"/>
          <w:numId w:val="2"/>
        </w:numPr>
        <w:shd w:val="clear" w:color="auto" w:fill="F2F9DB"/>
        <w:spacing w:after="0" w:line="240" w:lineRule="atLeast"/>
        <w:ind w:left="0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As categorias que os hotéis apresentam foram proporcionadas pelos próprios estabelecimentos e obedecendo sempre às normas específicas que regem o sector em cada país. Portanto, pode não ser semelhante em termos de prestações e qualidade um hotel num país relativamente a outro hotel diferente noutro país, mesmo tendo a mesma categoria.</w:t>
      </w:r>
    </w:p>
    <w:p w:rsidR="00DE089E" w:rsidRPr="00DE089E" w:rsidRDefault="00DE089E" w:rsidP="00DE089E">
      <w:pPr>
        <w:numPr>
          <w:ilvl w:val="0"/>
          <w:numId w:val="2"/>
        </w:numPr>
        <w:shd w:val="clear" w:color="auto" w:fill="F2F9DB"/>
        <w:spacing w:after="0" w:line="240" w:lineRule="atLeast"/>
        <w:ind w:left="0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se responsabiliza pela falta de fidelidade à realidade da informação facilitada pelos seus fornecedores. 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Em caso de erro tipográfico</w:t>
      </w:r>
      <w:r w:rsidR="00D410D0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ou informático, 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nos preços e condições apresentados no sítio web, a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comunicará o erro </w:t>
      </w:r>
      <w:r w:rsidR="00D410D0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à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e </w:t>
      </w:r>
      <w:r w:rsidR="00D410D0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permitirá 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o cancelamento da reserva sem qualquer custo, não se considerando válido em nenhum caso o preço errado.</w:t>
      </w:r>
    </w:p>
    <w:p w:rsidR="00DE089E" w:rsidRPr="00DE089E" w:rsidRDefault="005758A1" w:rsidP="00DE089E">
      <w:pPr>
        <w:numPr>
          <w:ilvl w:val="0"/>
          <w:numId w:val="2"/>
        </w:numPr>
        <w:shd w:val="clear" w:color="auto" w:fill="F2F9DB"/>
        <w:spacing w:after="0" w:line="240" w:lineRule="atLeast"/>
        <w:ind w:left="0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Qualquer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informação publicada no sítio da 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relativa aos hotéis anunciados no mesmo, incluindo, a título enunciativo mas não limitador, os detalhes do hotel, a disponibilidade e o preço dos quartos, as instalações de que dispõe, qualquer acreditação concedida ao hotel e qualquer dado relativo a qualquer outro serviço anunciado no sítio web, foi publicada na mesma pelos fornecedores de alojamento ou serviços, que são empresas independentes e não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lastRenderedPageBreak/>
        <w:t>actuam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como representantes, funcionários nem filiais da 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. Esta informação não constitui nenhum conselho ou recomendação por parte da 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, e a 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não se responsabiliza por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incorrecções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ou erros nos conteúdos sobre os alojamentos ou qualquer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aspecto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relacionado. Estas empresas independentes oferecem os seus serviços de acordo com as suas próprias condições, que podem por sua vez excluir ou limitar a sua responsabilidade para com </w:t>
      </w:r>
      <w:r w:rsidR="001B54E4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 Agencia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de Viagens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. Nem a 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nem as suas filiais se responsabilizam por nenhuma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acção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, omissão, incumprimento ou negligência por parte dessas empresas independentes, nem por nenhum dano ou despesa causados pelas mesmas. Em caso de </w:t>
      </w:r>
      <w:proofErr w:type="gram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overbooking</w:t>
      </w:r>
      <w:proofErr w:type="gram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, força maior ou qualquer outra causa fora do nosso controlo, qualquer reclamação deverá ser dirigida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directamente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ao estabelecimento. Nem a </w:t>
      </w:r>
      <w:r w:rsid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nem as suas filiais se responsabilizam na modalidade de pagamento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directo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no hotel.</w:t>
      </w:r>
    </w:p>
    <w:p w:rsidR="00DE089E" w:rsidRPr="00DE089E" w:rsidRDefault="00DE089E" w:rsidP="00DE089E">
      <w:pPr>
        <w:numPr>
          <w:ilvl w:val="0"/>
          <w:numId w:val="2"/>
        </w:numPr>
        <w:shd w:val="clear" w:color="auto" w:fill="F2F9DB"/>
        <w:spacing w:after="0" w:line="240" w:lineRule="atLeast"/>
        <w:ind w:left="0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proporciona a informação que o estabelecimento de alojamento lhe fornece acerca da existência e duração de obras de reabilitação ou renovação no mesmo.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aceitará reclamações por obras das quais não tenha conhecimento ou que se prolonguem mais além da data de termo comunicada.</w:t>
      </w:r>
    </w:p>
    <w:p w:rsidR="001B54E4" w:rsidRDefault="00DE089E" w:rsidP="001B54E4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 xml:space="preserve">10. </w:t>
      </w: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Não comparência no serviço de alojamento 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Caso a reserva não tenha sido cancelada previamente, </w:t>
      </w:r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="005758A1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será reembolsada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nem qualquer membro do seu grupo em nenhum montante pela não comparência no alojamento na data indicada na reserva. </w:t>
      </w:r>
      <w:r w:rsidR="00504475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504475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>Os</w:t>
      </w:r>
      <w:r w:rsidRPr="00DE089E">
        <w:rPr>
          <w:rFonts w:ascii="Arial" w:eastAsia="Times New Roman" w:hAnsi="Arial" w:cs="Arial"/>
          <w:color w:val="454545"/>
          <w:sz w:val="20"/>
          <w:szCs w:val="20"/>
          <w:u w:val="single"/>
          <w:lang w:eastAsia="pt-PT"/>
        </w:rPr>
        <w:t xml:space="preserve"> hotéis reservam-se o direito de cancelar a reserva depois das 00:00 horas do dia de entrada especificado na reserva. 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1B54E4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11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Antes de iniciar a viagem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faz-se responsável das possíveis perdas e danos que aconteceram da viagem em nenhum destino em particular.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União Europeia estabelece informação geral referente as </w:t>
      </w:r>
      <w:r w:rsidR="00504475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viagens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deslocamentos que possa realizar em http://europa.eu/abc/travel/index_pt.htm Visite o </w:t>
      </w:r>
      <w:proofErr w:type="gram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site</w:t>
      </w:r>
      <w:proofErr w:type="gram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para obter mais informações detalhadas ao respeito.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>Será a sua responsabilidade a segurança de obter os vistos necessários para fazer a viagem ao país de destinação, do mesmo modo que a procura das vacinas pertinentes, 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e possivelmente também um certificado de matrimónio para casais que partilhem o mesmo quarto em alguns países muçulmanos. 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A 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se responsabilizará pelas despesas derivadas se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tiver a documentação em dia.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1B54E4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12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Seguros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aconselha fazer um seguro de viagem adequado ao destino d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que cubra perdas pessoais, material e despesas médicas para o caso de acidente ou doença durante a viagem.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1B54E4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13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Força maior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Nos casos de força maior, tais como guerra, revolução,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actos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terrorismo, encerramento de fronteiras, epidemias, catástrofes e outras causas que se revistam de gravidade e que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afectem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os vários destinos e, em particular o local onde está situado o estabelecimento de alojamento de destino, as reservas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efectuadas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através da 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poderão ser canceladas a pedido de qualquer uma das partes sem qualquer penalização.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1B54E4" w:rsidP="00DE089E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14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Queixas relativamente ao serviço de alojamento</w:t>
      </w:r>
    </w:p>
    <w:p w:rsidR="00504475" w:rsidRDefault="00DE089E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lastRenderedPageBreak/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Se tiver alguma queixa deve-se dirigir imediatamente à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recepção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/endereço do alojamento para que possam tomar as medidas necessárias para solucionar o problema.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Caso a solução apresentada não satisfaça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este deverá contactar o departamento de Atendimento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através do númer</w:t>
      </w:r>
      <w:r w:rsidR="00504475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o de telefone indicado no </w:t>
      </w:r>
      <w:proofErr w:type="gramStart"/>
      <w:r w:rsidR="00504475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site</w:t>
      </w:r>
      <w:proofErr w:type="gramEnd"/>
      <w:r w:rsidR="00504475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</w:p>
    <w:p w:rsidR="00DE089E" w:rsidRPr="00DE089E" w:rsidRDefault="00DE089E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se considera responsável por nenhum dano ou prejuízo causado por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acções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omissões ou negligência de nenhum fornecedor terceiro.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504475" w:rsidRDefault="001B54E4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15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Cláusula de exoneração de responsabilidade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actua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como intermediário independente na contratação de alojamento e outros serviços, de modo que não se poderá considerar responsável por morte, lesões, doença, danos, perda, acidente, roubo, atraso ou qualquer outra irregularidade derivada,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directa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indirectamente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da prestação dos serviços por parte do hotel ou de outros fornecedores e que tenham sido contratados através do presente sistema. Além disso, em nenhum caso a </w:t>
      </w:r>
    </w:p>
    <w:p w:rsidR="00DE089E" w:rsidRPr="00DE089E" w:rsidRDefault="00DE089E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será responsável por perdas, danos ou prejuízos de qualquer tipo, quer sejam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directos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indirectos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decorrentes do acesso ou não ao sítio web, da sua utilização ou da informação contida no mesmo, incluindo lucros cessantes e semelhantes.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utilizará os meios que razoavelmente estiverem ao seu alcance para facilitar que os seus fornecedores aceitem a responsabilidade e indemnizem face a qualquer reclamação dos consumidores finais relativamente à prestação dos serviços.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aceitará nenhuma reclamação que não tenha sido apresentada pelo consumidor final durante o seu período de estadia no estabelecimento de alojamento.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dará seguimento a nenhuma reclamação com o fornecedor que tenha sido apresentada num período superior a quinze dias após a data de saída do consumidor final do estabelecimento em questão.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(tanto se o presente acordo tiver sido resolvido como se não) preservará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em todo o momento incólume e ressarci-la-á face a qualquer tipo de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acções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reclamações, procedimentos, perdas, custos, despesas e queixas (incluindo custos e despesas derivados da defesa) derivadas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directa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indirectamente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um incumprimento por parte ou por conta d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de qualquer uma das pessoas para quem reservou e contratou em seu nome, relativamente a qualquer uma das cláusulas que se referem nas presentes Condições Gerais, por uma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actuação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omissão que vulnere obrigações legais ou regulamentares, ou por qualquer outra causa que lese os interesses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será responsável pela sua conduta e pela do seu grupo em caso de comportamento anormal ou vandalismo. Neste caso,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reserva-se o direito de cancelar automaticamente a sua estadia ou reservas sem pagamento de qualquer compensação. Igual direito, e para o mesmo caso, assistirá o estabelecimento em que estiverem alojados ou, se for o caso, ao fornecedor dos serviços de transferes ou excursões.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pagará à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qualquer quantia derivada das condutas e conceitos antes referidos que lhe for reclamada por qualquer terceiro. Igualmente, </w:t>
      </w:r>
      <w:r w:rsidR="00D410D0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Agencia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será responsável pelos danos e prejuízos que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possam sofrer em consequência da falta de veracidade,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inexactidão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, falta de vigência e autenticidade dos dados facilitados ou do incumprimento dos deveres antes referidos.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responsabilidade da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quer seja produzida em virtude do não cumprimento das presentes Condições Gerais, não cumprimento do contrato ao qual vão anexas as presentes Condições Gerais, por uma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actuação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ou omissão que vulnere obrigações legais ou 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lastRenderedPageBreak/>
        <w:t>regulamentares, ou por qualquer outra causa, em nenhum caso excederá a quantia paga pel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à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pelos serviços específicos de que se trate.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1B54E4" w:rsidP="001B54E4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16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Geral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As presentes Condições Gerais contêm algumas exclusões e limitações de responsabilidade. Se alguma das partes destas condições se tornar nula ou inaplicável, as restantes condições manterão a sua validade. Qualquer condição nula ou inaplicável considerar-se-á substituída por uma forma válida e aplicável da condição, que transmita o mesmo significado. Qualquer disputa que possa surgir será submetida à jurisdição e legislação dos tribunais espanhóis. Você aceita que o uso deste sítio web pela sua parte não implica nenhuma relação de associação, emprego ou agência entre você e </w:t>
      </w:r>
      <w:r w:rsid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504475" w:rsidP="00DE089E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</w:t>
      </w:r>
      <w:r w:rsidR="001B54E4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7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Conversão de divisas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As taxas de câmbio são obtidas de diversas fontes públicas e não são diariamente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actualizadas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. Por isso, não se pode garantir que sejam totalmente precisos, de forma que se devem utilizar apenas com fins </w:t>
      </w:r>
      <w:proofErr w:type="spellStart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orientativos</w:t>
      </w:r>
      <w:proofErr w:type="spellEnd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 As taxas de câmbio reais podem variar, pelo que aconselhamos que os verifique num estabelecimento profissional qualificado.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DE089E" w:rsidP="00DE089E">
      <w:pPr>
        <w:shd w:val="clear" w:color="auto" w:fill="F2F9DB"/>
        <w:spacing w:after="24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18. TAXAS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proofErr w:type="spellStart"/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Taxas</w:t>
      </w:r>
      <w:proofErr w:type="spellEnd"/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 xml:space="preserve"> a aplicar nos Resorts situados nos EUA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Alguns Resorts nos EUA requerem o pagamento de taxas que a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10000Hoteis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não pode incluir no preço. No caso de </w:t>
      </w:r>
      <w:r w:rsidR="001B54E4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 Agencia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de Viagens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escolher algum Resort nos EUA, na secção “Hotel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Info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” poderá encontrar informação relativa a este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aspecto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Outras taxas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Em alguns países existe um imposto local denominado “taxa de estadia” ou “taxa turística” que por vezes deverá ser pago </w:t>
      </w:r>
      <w:proofErr w:type="spellStart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directamente</w:t>
      </w:r>
      <w:proofErr w:type="spellEnd"/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pelo consumidor final no estabelecimento e/ou no aeroporto.</w:t>
      </w:r>
      <w:r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</w:p>
    <w:p w:rsidR="00DE089E" w:rsidRPr="00DE089E" w:rsidRDefault="001B54E4" w:rsidP="00DE089E">
      <w:pPr>
        <w:shd w:val="clear" w:color="auto" w:fill="F2F9DB"/>
        <w:spacing w:after="0" w:line="240" w:lineRule="atLeast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pt-PT"/>
        </w:rPr>
      </w:pPr>
      <w:r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19</w:t>
      </w:r>
      <w:r w:rsidR="00DE089E" w:rsidRPr="00DE089E">
        <w:rPr>
          <w:rFonts w:ascii="Arial" w:eastAsia="Times New Roman" w:hAnsi="Arial" w:cs="Arial"/>
          <w:b/>
          <w:bCs/>
          <w:color w:val="454545"/>
          <w:sz w:val="20"/>
          <w:szCs w:val="20"/>
          <w:bdr w:val="none" w:sz="0" w:space="0" w:color="auto" w:frame="1"/>
          <w:lang w:eastAsia="pt-PT"/>
        </w:rPr>
        <w:t>. Legislação e foro</w:t>
      </w:r>
      <w:bookmarkStart w:id="0" w:name="_GoBack"/>
      <w:bookmarkEnd w:id="0"/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br/>
        <w:t xml:space="preserve">A aplicação e interpretação das presentes Condições Gerais reger-se-á pela Legislação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Portuguesa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 vigente. Em caso de discrepância que possa surgir na interpretação ou execução destas Condições Gerais, as partes, renunciando expressamente ao seu foro próprio caso o tenham, submetem-se à Jurisdição e Competência dos Tribunais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Do Porto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 xml:space="preserve">, </w:t>
      </w:r>
      <w:r>
        <w:rPr>
          <w:rFonts w:ascii="Arial" w:eastAsia="Times New Roman" w:hAnsi="Arial" w:cs="Arial"/>
          <w:color w:val="454545"/>
          <w:sz w:val="20"/>
          <w:szCs w:val="20"/>
          <w:lang w:eastAsia="pt-PT"/>
        </w:rPr>
        <w:t>Portugal</w:t>
      </w:r>
      <w:r w:rsidR="00DE089E" w:rsidRPr="00DE089E">
        <w:rPr>
          <w:rFonts w:ascii="Arial" w:eastAsia="Times New Roman" w:hAnsi="Arial" w:cs="Arial"/>
          <w:color w:val="454545"/>
          <w:sz w:val="20"/>
          <w:szCs w:val="20"/>
          <w:lang w:eastAsia="pt-PT"/>
        </w:rPr>
        <w:t>.</w:t>
      </w:r>
    </w:p>
    <w:p w:rsidR="00B10291" w:rsidRDefault="00B10291"/>
    <w:sectPr w:rsidR="00B102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23718"/>
    <w:multiLevelType w:val="multilevel"/>
    <w:tmpl w:val="8CF0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752FB7"/>
    <w:multiLevelType w:val="multilevel"/>
    <w:tmpl w:val="5E96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9E"/>
    <w:rsid w:val="001B54E4"/>
    <w:rsid w:val="00504475"/>
    <w:rsid w:val="005758A1"/>
    <w:rsid w:val="00B10291"/>
    <w:rsid w:val="00D410D0"/>
    <w:rsid w:val="00DE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A460A-EA14-48EF-9482-AE22DC27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ter"/>
    <w:uiPriority w:val="9"/>
    <w:qFormat/>
    <w:rsid w:val="00DE08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DE089E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styleId="Forte">
    <w:name w:val="Strong"/>
    <w:basedOn w:val="Tipodeletrapredefinidodopargrafo"/>
    <w:uiPriority w:val="22"/>
    <w:qFormat/>
    <w:rsid w:val="00DE089E"/>
    <w:rPr>
      <w:b/>
      <w:bCs/>
    </w:rPr>
  </w:style>
  <w:style w:type="character" w:customStyle="1" w:styleId="apple-converted-space">
    <w:name w:val="apple-converted-space"/>
    <w:basedOn w:val="Tipodeletrapredefinidodopargrafo"/>
    <w:rsid w:val="001B5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6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84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6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4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2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24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0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11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60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3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66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92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3862</Words>
  <Characters>20856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dc:description/>
  <cp:lastModifiedBy>Patricia</cp:lastModifiedBy>
  <cp:revision>1</cp:revision>
  <dcterms:created xsi:type="dcterms:W3CDTF">2016-01-13T15:06:00Z</dcterms:created>
  <dcterms:modified xsi:type="dcterms:W3CDTF">2016-01-13T17:15:00Z</dcterms:modified>
</cp:coreProperties>
</file>